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8B" w:rsidRPr="00814D42" w:rsidRDefault="00CF0F78">
      <w:pPr>
        <w:rPr>
          <w:b/>
        </w:rPr>
      </w:pPr>
      <w:r w:rsidRPr="00814D42">
        <w:rPr>
          <w:b/>
        </w:rPr>
        <w:t xml:space="preserve">BALANÇO DAS AÇÕES </w:t>
      </w:r>
      <w:r w:rsidR="00814D42" w:rsidRPr="00814D42">
        <w:rPr>
          <w:b/>
        </w:rPr>
        <w:t xml:space="preserve">DA CONTROLADORIA GERAL DE PORTO NACIONAL NO ANO </w:t>
      </w:r>
      <w:r w:rsidRPr="00814D42">
        <w:rPr>
          <w:b/>
        </w:rPr>
        <w:t>DE 2019</w:t>
      </w:r>
    </w:p>
    <w:p w:rsidR="00F5272D" w:rsidRDefault="00F5272D" w:rsidP="00CF0F78">
      <w:pPr>
        <w:jc w:val="both"/>
      </w:pPr>
    </w:p>
    <w:p w:rsidR="00CF0F78" w:rsidRDefault="00CF0F78" w:rsidP="00CF0F78">
      <w:pPr>
        <w:jc w:val="both"/>
      </w:pPr>
      <w:r>
        <w:t xml:space="preserve">A Controladoria Geral de Porto Nacional centraliza o controle interno da Administração Pública </w:t>
      </w:r>
      <w:r w:rsidR="00814D42">
        <w:t>M</w:t>
      </w:r>
      <w:r>
        <w:t xml:space="preserve">unicipal e vem buscando desempenhar papel relevante </w:t>
      </w:r>
      <w:r w:rsidR="006B206F">
        <w:t>em sua</w:t>
      </w:r>
      <w:r>
        <w:t xml:space="preserve"> atuação</w:t>
      </w:r>
      <w:r w:rsidR="00814D42">
        <w:t>.</w:t>
      </w:r>
      <w:r>
        <w:t xml:space="preserve"> </w:t>
      </w:r>
    </w:p>
    <w:p w:rsidR="00CF0F78" w:rsidRDefault="00CF0F78" w:rsidP="00CF0F78">
      <w:pPr>
        <w:jc w:val="both"/>
      </w:pPr>
      <w:r>
        <w:t>O presente relatório materializa a política de transparência e de controle interno compreendida no ano de 2019.</w:t>
      </w:r>
    </w:p>
    <w:p w:rsidR="002411E8" w:rsidRPr="00814D42" w:rsidRDefault="00814D42" w:rsidP="002411E8">
      <w:pPr>
        <w:jc w:val="both"/>
        <w:rPr>
          <w:b/>
        </w:rPr>
      </w:pPr>
      <w:r w:rsidRPr="00814D42">
        <w:rPr>
          <w:b/>
        </w:rPr>
        <w:t>ATIVIDADES DESENVOLVIDAS</w:t>
      </w:r>
    </w:p>
    <w:p w:rsidR="002411E8" w:rsidRDefault="002411E8" w:rsidP="002411E8">
      <w:pPr>
        <w:jc w:val="both"/>
      </w:pPr>
      <w:r w:rsidRPr="00814D42">
        <w:rPr>
          <w:b/>
        </w:rPr>
        <w:t>1</w:t>
      </w:r>
      <w:r w:rsidR="00255184">
        <w:t xml:space="preserve"> - Foi</w:t>
      </w:r>
      <w:r>
        <w:t xml:space="preserve"> realizada </w:t>
      </w:r>
      <w:r w:rsidR="00814D42">
        <w:t>0</w:t>
      </w:r>
      <w:r w:rsidR="00235E1C">
        <w:t>1</w:t>
      </w:r>
      <w:r>
        <w:t xml:space="preserve"> (</w:t>
      </w:r>
      <w:r w:rsidR="00235E1C">
        <w:t>uma) inspeção</w:t>
      </w:r>
      <w:r>
        <w:t xml:space="preserve">, </w:t>
      </w:r>
      <w:r w:rsidR="00235E1C">
        <w:t>instaurada</w:t>
      </w:r>
      <w:r>
        <w:t xml:space="preserve"> no âmbito do poder executivo </w:t>
      </w:r>
      <w:r w:rsidR="00814D42">
        <w:t>municipal</w:t>
      </w:r>
      <w:r>
        <w:t>,</w:t>
      </w:r>
      <w:r w:rsidR="00814D42">
        <w:t xml:space="preserve"> </w:t>
      </w:r>
      <w:r>
        <w:t>com intuito de averiguar situações de riscos ocorridos nas áreas de atuação da administração pública</w:t>
      </w:r>
      <w:r w:rsidR="00814D42">
        <w:t>.</w:t>
      </w:r>
    </w:p>
    <w:p w:rsidR="002411E8" w:rsidRPr="00814D42" w:rsidRDefault="006B206F" w:rsidP="002411E8">
      <w:pPr>
        <w:jc w:val="both"/>
        <w:rPr>
          <w:b/>
        </w:rPr>
      </w:pPr>
      <w:r w:rsidRPr="00814D42">
        <w:rPr>
          <w:b/>
        </w:rPr>
        <w:t>Inspeç</w:t>
      </w:r>
      <w:r>
        <w:rPr>
          <w:b/>
        </w:rPr>
        <w:t>ão</w:t>
      </w:r>
      <w:r w:rsidRPr="00814D42">
        <w:rPr>
          <w:b/>
        </w:rPr>
        <w:t>:</w:t>
      </w:r>
    </w:p>
    <w:p w:rsidR="002411E8" w:rsidRDefault="00814D42" w:rsidP="002411E8">
      <w:pPr>
        <w:jc w:val="both"/>
      </w:pPr>
      <w:r>
        <w:t xml:space="preserve">Inspeção </w:t>
      </w:r>
      <w:r w:rsidR="00235E1C">
        <w:t xml:space="preserve">no Arquivo Municipal, pertencente </w:t>
      </w:r>
      <w:r w:rsidR="00513DBC">
        <w:t>à</w:t>
      </w:r>
      <w:r w:rsidR="00235E1C">
        <w:t xml:space="preserve"> Secretaria Municipal de Administração</w:t>
      </w:r>
      <w:r w:rsidR="002411E8">
        <w:t xml:space="preserve"> com o objetivo de verificar a </w:t>
      </w:r>
      <w:r w:rsidR="00235E1C">
        <w:t xml:space="preserve">situação que se encontram os arquivos históricos da administração pública de </w:t>
      </w:r>
      <w:r w:rsidR="00513DBC">
        <w:t>P</w:t>
      </w:r>
      <w:r w:rsidR="00235E1C">
        <w:t>orto Nacional</w:t>
      </w:r>
      <w:r w:rsidR="002411E8">
        <w:t>;</w:t>
      </w:r>
    </w:p>
    <w:p w:rsidR="002411E8" w:rsidRDefault="002411E8" w:rsidP="002411E8">
      <w:pPr>
        <w:jc w:val="both"/>
      </w:pPr>
      <w:r w:rsidRPr="00513DBC">
        <w:rPr>
          <w:b/>
        </w:rPr>
        <w:t>2</w:t>
      </w:r>
      <w:r>
        <w:t xml:space="preserve"> - Foram realizadas fiscalizações in loco, executadas no âmbito do poder executivo </w:t>
      </w:r>
      <w:r w:rsidR="00513DBC">
        <w:t>municipal</w:t>
      </w:r>
      <w:r>
        <w:t>, com intuito de averiguar situações de risco, inconsistências, dar apoio técnico, realizar análise de</w:t>
      </w:r>
      <w:r w:rsidR="00513DBC">
        <w:t xml:space="preserve"> </w:t>
      </w:r>
      <w:r>
        <w:t>procedimentos ocorridos nas mais diversas áreas de atuação da administração pública, originárias principalmente de solicitação dos próprios gestores.</w:t>
      </w:r>
    </w:p>
    <w:p w:rsidR="002411E8" w:rsidRPr="00513DBC" w:rsidRDefault="006B206F" w:rsidP="002411E8">
      <w:pPr>
        <w:jc w:val="both"/>
        <w:rPr>
          <w:b/>
        </w:rPr>
      </w:pPr>
      <w:r w:rsidRPr="00513DBC">
        <w:rPr>
          <w:b/>
        </w:rPr>
        <w:t>Fiscalizações:</w:t>
      </w:r>
    </w:p>
    <w:p w:rsidR="002411E8" w:rsidRDefault="002411E8" w:rsidP="002411E8">
      <w:pPr>
        <w:jc w:val="both"/>
      </w:pPr>
      <w:r>
        <w:t>Realização de trabalho de auxílio e apoio técnico presencial e análise de processos administrativos</w:t>
      </w:r>
      <w:r w:rsidR="002760CE">
        <w:t xml:space="preserve"> </w:t>
      </w:r>
      <w:r>
        <w:t xml:space="preserve">inerentes às despesas na Secretaria </w:t>
      </w:r>
      <w:r w:rsidR="00DA0544">
        <w:t xml:space="preserve">Municipal </w:t>
      </w:r>
      <w:r>
        <w:t>da Saúde;</w:t>
      </w:r>
    </w:p>
    <w:p w:rsidR="002760CE" w:rsidRDefault="002760CE" w:rsidP="002760CE">
      <w:pPr>
        <w:jc w:val="both"/>
      </w:pPr>
      <w:r>
        <w:t xml:space="preserve">Realização de trabalho de auxílio e apoio técnico presencial e análise de processos administrativos inerentes às despesas na Secretaria </w:t>
      </w:r>
      <w:r w:rsidR="00DA0544">
        <w:t xml:space="preserve">Municipal </w:t>
      </w:r>
      <w:r>
        <w:t xml:space="preserve">da </w:t>
      </w:r>
      <w:r w:rsidR="00DA0544">
        <w:t>Educação</w:t>
      </w:r>
      <w:r>
        <w:t>;</w:t>
      </w:r>
    </w:p>
    <w:p w:rsidR="00DA0544" w:rsidRDefault="00DA0544" w:rsidP="002760CE">
      <w:pPr>
        <w:jc w:val="both"/>
      </w:pPr>
      <w:r w:rsidRPr="00DA0544">
        <w:t xml:space="preserve">Realização de trabalho de auxílio e apoio técnico presencial e análise de processos administrativos inerentes às despesas na Secretaria </w:t>
      </w:r>
      <w:r w:rsidR="00975256">
        <w:t>Municipal de Infraestrutura, Produção e Secretaria Municipal de Planejamento</w:t>
      </w:r>
      <w:r w:rsidRPr="00DA0544">
        <w:t>;</w:t>
      </w:r>
    </w:p>
    <w:p w:rsidR="002411E8" w:rsidRDefault="002411E8" w:rsidP="002411E8">
      <w:pPr>
        <w:jc w:val="both"/>
      </w:pPr>
      <w:r w:rsidRPr="002760CE">
        <w:rPr>
          <w:b/>
        </w:rPr>
        <w:t>3</w:t>
      </w:r>
      <w:r>
        <w:t xml:space="preserve"> - Foram </w:t>
      </w:r>
      <w:r w:rsidRPr="00255184">
        <w:t xml:space="preserve">instauradas </w:t>
      </w:r>
      <w:r w:rsidR="007B21AC" w:rsidRPr="00255184">
        <w:t>02</w:t>
      </w:r>
      <w:r w:rsidRPr="00255184">
        <w:t xml:space="preserve"> (</w:t>
      </w:r>
      <w:r w:rsidR="007B21AC" w:rsidRPr="00255184">
        <w:t>duas</w:t>
      </w:r>
      <w:r w:rsidRPr="00255184">
        <w:t xml:space="preserve">) </w:t>
      </w:r>
      <w:r>
        <w:t xml:space="preserve">auditorias no âmbito do poder executivo </w:t>
      </w:r>
      <w:r w:rsidR="003C1849">
        <w:t>municipal</w:t>
      </w:r>
      <w:r>
        <w:t>, com intuito de</w:t>
      </w:r>
      <w:r w:rsidR="003C1849">
        <w:t xml:space="preserve"> </w:t>
      </w:r>
      <w:r>
        <w:t>verificar irregularidades ou situações que ensejaram investigação por esta Con</w:t>
      </w:r>
      <w:r w:rsidR="00F72973">
        <w:t>troladoria</w:t>
      </w:r>
      <w:r>
        <w:t>.</w:t>
      </w:r>
    </w:p>
    <w:p w:rsidR="002411E8" w:rsidRPr="00F72973" w:rsidRDefault="006B206F" w:rsidP="002411E8">
      <w:pPr>
        <w:jc w:val="both"/>
        <w:rPr>
          <w:b/>
        </w:rPr>
      </w:pPr>
      <w:r w:rsidRPr="00F72973">
        <w:rPr>
          <w:b/>
        </w:rPr>
        <w:t>Auditorias:</w:t>
      </w:r>
    </w:p>
    <w:p w:rsidR="002411E8" w:rsidRDefault="007B21AC" w:rsidP="002411E8">
      <w:pPr>
        <w:jc w:val="both"/>
      </w:pPr>
      <w:r>
        <w:t>Auditoria</w:t>
      </w:r>
      <w:r w:rsidRPr="007B21AC">
        <w:t xml:space="preserve"> </w:t>
      </w:r>
      <w:r>
        <w:t>n</w:t>
      </w:r>
      <w:r w:rsidRPr="007B21AC">
        <w:t>os processos administrativos referentes a diárias do período de 2018 a 30 de junho de 2019.</w:t>
      </w:r>
    </w:p>
    <w:p w:rsidR="007B21AC" w:rsidRDefault="007B21AC" w:rsidP="002411E8">
      <w:pPr>
        <w:jc w:val="both"/>
      </w:pPr>
      <w:r>
        <w:t>Auditoria</w:t>
      </w:r>
      <w:r w:rsidRPr="007B21AC">
        <w:t xml:space="preserve"> </w:t>
      </w:r>
      <w:r>
        <w:t>n</w:t>
      </w:r>
      <w:r w:rsidRPr="007B21AC">
        <w:t xml:space="preserve">o patrimônio do Município de Porto Nacional - TO. </w:t>
      </w:r>
    </w:p>
    <w:p w:rsidR="007B21AC" w:rsidRDefault="007B21AC" w:rsidP="002411E8">
      <w:pPr>
        <w:jc w:val="both"/>
      </w:pPr>
    </w:p>
    <w:p w:rsidR="007B21AC" w:rsidRDefault="007B21AC" w:rsidP="002411E8">
      <w:pPr>
        <w:jc w:val="both"/>
      </w:pPr>
    </w:p>
    <w:p w:rsidR="002411E8" w:rsidRDefault="002411E8" w:rsidP="002411E8">
      <w:pPr>
        <w:jc w:val="both"/>
      </w:pPr>
      <w:r w:rsidRPr="007B21AC">
        <w:rPr>
          <w:b/>
        </w:rPr>
        <w:t>4</w:t>
      </w:r>
      <w:r>
        <w:t xml:space="preserve"> </w:t>
      </w:r>
      <w:r w:rsidR="007B21AC">
        <w:t>–</w:t>
      </w:r>
      <w:r>
        <w:t xml:space="preserve"> F</w:t>
      </w:r>
      <w:r w:rsidR="007B21AC">
        <w:t xml:space="preserve">oi </w:t>
      </w:r>
      <w:proofErr w:type="gramStart"/>
      <w:r w:rsidR="007B21AC">
        <w:t>solicitado</w:t>
      </w:r>
      <w:proofErr w:type="gramEnd"/>
      <w:r w:rsidR="007B21AC">
        <w:t xml:space="preserve"> a instauração de 0</w:t>
      </w:r>
      <w:r w:rsidR="000F143A">
        <w:t>2</w:t>
      </w:r>
      <w:r>
        <w:t xml:space="preserve"> (</w:t>
      </w:r>
      <w:r w:rsidR="000F143A">
        <w:t>duas</w:t>
      </w:r>
      <w:r>
        <w:t>) Tomada</w:t>
      </w:r>
      <w:r w:rsidR="000F143A">
        <w:t>s</w:t>
      </w:r>
      <w:r>
        <w:t xml:space="preserve"> de Contas Especial</w:t>
      </w:r>
      <w:r w:rsidR="000F143A">
        <w:t>.</w:t>
      </w:r>
    </w:p>
    <w:p w:rsidR="009F79F7" w:rsidRDefault="002411E8" w:rsidP="009F79F7">
      <w:pPr>
        <w:jc w:val="both"/>
      </w:pPr>
      <w:r w:rsidRPr="007B21AC">
        <w:rPr>
          <w:b/>
        </w:rPr>
        <w:t>5 -</w:t>
      </w:r>
      <w:r>
        <w:t xml:space="preserve"> Foram realizados a capacitação</w:t>
      </w:r>
      <w:r w:rsidR="009F79F7">
        <w:t xml:space="preserve"> </w:t>
      </w:r>
      <w:r>
        <w:t xml:space="preserve">de servidores, através de </w:t>
      </w:r>
      <w:r w:rsidR="006B206F">
        <w:t>Workshop</w:t>
      </w:r>
      <w:r w:rsidR="000F143A">
        <w:t>,</w:t>
      </w:r>
      <w:proofErr w:type="gramStart"/>
      <w:r w:rsidR="000F143A">
        <w:t xml:space="preserve">  </w:t>
      </w:r>
      <w:proofErr w:type="gramEnd"/>
      <w:r>
        <w:t xml:space="preserve">Debates e </w:t>
      </w:r>
      <w:r w:rsidR="006B206F">
        <w:t>Reuniões</w:t>
      </w:r>
      <w:r w:rsidR="009F79F7">
        <w:t xml:space="preserve"> com </w:t>
      </w:r>
      <w:r>
        <w:t xml:space="preserve">objetivo de habilitar os servidores públicos </w:t>
      </w:r>
      <w:r w:rsidR="009F79F7">
        <w:t xml:space="preserve">da Controladoria e demais </w:t>
      </w:r>
      <w:r>
        <w:t>a desempenharem de forma satisfatória, eficiente e eficaz suas</w:t>
      </w:r>
      <w:r w:rsidR="009F79F7">
        <w:t xml:space="preserve"> </w:t>
      </w:r>
      <w:r>
        <w:t>responsabilidad</w:t>
      </w:r>
      <w:r w:rsidR="009F79F7">
        <w:t>es e o trato com o bem público.</w:t>
      </w:r>
    </w:p>
    <w:p w:rsidR="002411E8" w:rsidRPr="00A929DA" w:rsidRDefault="006B206F" w:rsidP="002411E8">
      <w:pPr>
        <w:jc w:val="both"/>
        <w:rPr>
          <w:b/>
        </w:rPr>
      </w:pPr>
      <w:r w:rsidRPr="00A929DA">
        <w:rPr>
          <w:b/>
        </w:rPr>
        <w:t>Capacitações:</w:t>
      </w:r>
    </w:p>
    <w:p w:rsidR="002411E8" w:rsidRPr="00114909" w:rsidRDefault="006B206F" w:rsidP="002411E8">
      <w:pPr>
        <w:jc w:val="both"/>
      </w:pPr>
      <w:r w:rsidRPr="00114909">
        <w:t xml:space="preserve">Workshop Municipal de </w:t>
      </w:r>
      <w:r w:rsidR="00114909" w:rsidRPr="00114909">
        <w:t>Controle Interno</w:t>
      </w:r>
    </w:p>
    <w:p w:rsidR="00114909" w:rsidRDefault="00114909" w:rsidP="002411E8">
      <w:pPr>
        <w:jc w:val="both"/>
      </w:pPr>
      <w:r w:rsidRPr="00114909">
        <w:t>Debate no Auditório da Secretaria Municipal de Saúde Referente à Planejamento Estratégico com a participação de todas as secretarias municipais.</w:t>
      </w:r>
    </w:p>
    <w:p w:rsidR="00255184" w:rsidRPr="00114909" w:rsidRDefault="00255184" w:rsidP="002411E8">
      <w:pPr>
        <w:jc w:val="both"/>
      </w:pPr>
      <w:r>
        <w:t>Varias Reuniões com servidores e gestores municipais.</w:t>
      </w:r>
    </w:p>
    <w:p w:rsidR="00A929DA" w:rsidRDefault="002411E8" w:rsidP="002411E8">
      <w:pPr>
        <w:jc w:val="both"/>
      </w:pPr>
      <w:r w:rsidRPr="00A929DA">
        <w:rPr>
          <w:b/>
        </w:rPr>
        <w:t>6 -</w:t>
      </w:r>
      <w:r w:rsidR="00A929DA">
        <w:t xml:space="preserve"> Foram emitidas 07(sete) orientações técnicas que tratam de vários pontos da administração publica Municipal</w:t>
      </w:r>
      <w:r w:rsidR="00114909">
        <w:t xml:space="preserve">, publicados no site da Controladoria  </w:t>
      </w:r>
      <w:hyperlink r:id="rId7" w:history="1">
        <w:r w:rsidR="00114909" w:rsidRPr="001D3EDC">
          <w:rPr>
            <w:rStyle w:val="Hyperlink"/>
          </w:rPr>
          <w:t>http://www.portonacional.to.gov.br/index.php/relatorios-controladoria</w:t>
        </w:r>
      </w:hyperlink>
      <w:r w:rsidR="00114909">
        <w:t>, conforme abaixo:</w:t>
      </w:r>
    </w:p>
    <w:tbl>
      <w:tblPr>
        <w:tblW w:w="6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0"/>
      </w:tblGrid>
      <w:tr w:rsidR="00114909" w:rsidRPr="00114909" w:rsidTr="001149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8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 xml:space="preserve">NOTA DE ORIENTAÇÃO TÉCNICA 001-2019 CGM-despesas e execução das despesas; reconhecimento de dívidas; licitação; registro de preço e adesão à ata; processo </w:t>
              </w:r>
              <w:proofErr w:type="gramStart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administrativo.</w:t>
              </w:r>
              <w:proofErr w:type="gramEnd"/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9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I- N. O- 001-2019-ADESÃO DE ATA</w:t>
              </w:r>
              <w:proofErr w:type="gramStart"/>
            </w:hyperlink>
            <w:proofErr w:type="gramEnd"/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10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II- N.O-001-2019- DISPENSA DE LICITAÇÃO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11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III-</w:t>
              </w:r>
              <w:proofErr w:type="gramStart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N.</w:t>
              </w:r>
              <w:proofErr w:type="gramEnd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O-001-2019-FISCAL DE CONTRATOS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12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IV-</w:t>
              </w:r>
              <w:proofErr w:type="gramStart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N.</w:t>
              </w:r>
              <w:proofErr w:type="gramEnd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O 001-2019-DIÁRIAS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13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V- N.O-001-2019-CONTRATOS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14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VI-</w:t>
              </w:r>
              <w:proofErr w:type="gramStart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N.</w:t>
              </w:r>
              <w:proofErr w:type="gramEnd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O-001-2019-LOCAÇÃO DE IMÓVEL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15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VII-</w:t>
              </w:r>
              <w:proofErr w:type="gramStart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N.</w:t>
              </w:r>
              <w:proofErr w:type="gramEnd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O 001-2019-CONTRATO SERVIÇOS CONTINUADOS</w:t>
              </w:r>
            </w:hyperlink>
          </w:p>
          <w:p w:rsidR="00114909" w:rsidRPr="00114909" w:rsidRDefault="00114909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490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16" w:tgtFrame="_blank" w:history="1">
              <w:r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VIII- N.O 001-2019-OBRAS E SERVIÇOS DE ENGENHARIA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17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VX- N.O 001-2019-CONVÊNIOS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18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X- N. O 001-2019-CONCORRÊNCIA, TOMADA DE PREÇO E CONVITE</w:t>
              </w:r>
              <w:proofErr w:type="gramStart"/>
            </w:hyperlink>
            <w:proofErr w:type="gramEnd"/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19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XI-</w:t>
              </w:r>
              <w:proofErr w:type="gramStart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N.</w:t>
              </w:r>
              <w:proofErr w:type="gramEnd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O 001-2019- PREGÃO PRESENCIAL SRP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20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XII-</w:t>
              </w:r>
              <w:proofErr w:type="gramStart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N.</w:t>
              </w:r>
              <w:proofErr w:type="gramEnd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O 001-2019-ALTERAÇÃO DE CONTRATOS SERVIÇOS CONTINUADOS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21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XIII-</w:t>
              </w:r>
              <w:proofErr w:type="gramStart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N.</w:t>
              </w:r>
              <w:proofErr w:type="gramEnd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O 001-2019 -REPACTUAÇÃO DE CONTRATOS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22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XIV- N.O 001-2019-CONTRATAÇÃO DIRETA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23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ANEXO XV-</w:t>
              </w:r>
              <w:proofErr w:type="gramStart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N.</w:t>
              </w:r>
              <w:proofErr w:type="gramEnd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O 001-2019- CREDENCIAMENTO PROFISSIONAIS DE SAÚDE</w:t>
              </w:r>
            </w:hyperlink>
          </w:p>
        </w:tc>
      </w:tr>
      <w:tr w:rsidR="00114909" w:rsidRPr="00114909" w:rsidTr="001149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14909" w:rsidRPr="00114909" w:rsidRDefault="009819C4" w:rsidP="0011490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24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 NOTA DE ORIENTAÇÃO 02-2019- CONTROLE DE FROTA</w:t>
              </w:r>
            </w:hyperlink>
          </w:p>
        </w:tc>
      </w:tr>
      <w:tr w:rsidR="00114909" w:rsidRPr="00114909" w:rsidTr="001149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14909" w:rsidRPr="00114909" w:rsidRDefault="009819C4" w:rsidP="00114909">
            <w:pPr>
              <w:spacing w:after="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25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NOTA DE ORIENTAÇÃO 03-2019-PATRIMÔNIO</w:t>
              </w:r>
            </w:hyperlink>
          </w:p>
        </w:tc>
      </w:tr>
      <w:tr w:rsidR="00114909" w:rsidRPr="00114909" w:rsidTr="0011490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26" w:tgtFrame="_blank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NOTA DE ORIENTAÇÃO 04-2019- CGM-SICAP, ACCI, CADUN E IEGM</w:t>
              </w:r>
              <w:proofErr w:type="gramStart"/>
            </w:hyperlink>
            <w:proofErr w:type="gramEnd"/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27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NOTA DE ORIENTAÇÃO 05-2019-CGM-  TERMO DE CONTRATO E PUBLICAÇÃO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28" w:history="1">
              <w:proofErr w:type="gramStart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WORKSHOP -CADASTRO</w:t>
              </w:r>
              <w:proofErr w:type="gramEnd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 xml:space="preserve"> DE PRODUTO</w:t>
              </w:r>
            </w:hyperlink>
            <w:hyperlink r:id="rId29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WORKSHOP -CADASTRO DE PRODUTO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30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WORKSHOP- CLASSICAÇÃO DA DESPESA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31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WORKSHOP- PATRIMÔNIO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32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WORKSHOP- ARQUIVO MUNICIPAL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33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 WORKSHOP-ALMOXARIFADO E ESTOQUE</w:t>
              </w:r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34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 xml:space="preserve">NOTA DE ORIENTAÇÃO TÉCNICA 006/2019- ORIENTAÇÕES SOBRE O ART. 9º DA LEI DE </w:t>
              </w:r>
              <w:proofErr w:type="gramStart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LICITAÇÕES.</w:t>
              </w:r>
              <w:proofErr w:type="gramEnd"/>
            </w:hyperlink>
          </w:p>
          <w:p w:rsidR="00114909" w:rsidRPr="00114909" w:rsidRDefault="009819C4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hyperlink r:id="rId35" w:history="1"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 xml:space="preserve">NOTA DE ORIENTAÇÃO TÉCNICA CGM 007/2019- PROCEDIMENTOS QUANDO EM RESPOSTA AS ORIENTAÕES E RELATÓRIOS DE AUDITORIAS DA CONTROLADORIA </w:t>
              </w:r>
              <w:proofErr w:type="gramStart"/>
              <w:r w:rsidR="00114909"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GERAL.</w:t>
              </w:r>
              <w:proofErr w:type="gramEnd"/>
            </w:hyperlink>
          </w:p>
          <w:p w:rsidR="00114909" w:rsidRPr="00114909" w:rsidRDefault="00114909" w:rsidP="00114909">
            <w:pPr>
              <w:spacing w:after="150" w:line="300" w:lineRule="atLeast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114909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 </w:t>
            </w:r>
            <w:hyperlink r:id="rId36" w:history="1">
              <w:r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 xml:space="preserve">NOTA DE ORIENTAÇÃO 008-2019-PROCEDIMENTOS ENCERRAMENTO DO EXERCICIO FINACEIRO DE </w:t>
              </w:r>
              <w:proofErr w:type="gramStart"/>
              <w:r w:rsidRPr="00114909">
                <w:rPr>
                  <w:rFonts w:ascii="Arial" w:eastAsia="Times New Roman" w:hAnsi="Arial" w:cs="Arial"/>
                  <w:sz w:val="21"/>
                  <w:szCs w:val="21"/>
                  <w:lang w:eastAsia="pt-BR"/>
                </w:rPr>
                <w:t>2019.</w:t>
              </w:r>
              <w:proofErr w:type="gramEnd"/>
            </w:hyperlink>
          </w:p>
        </w:tc>
      </w:tr>
    </w:tbl>
    <w:p w:rsidR="00A929DA" w:rsidRDefault="002411E8" w:rsidP="00A929DA">
      <w:pPr>
        <w:jc w:val="both"/>
      </w:pPr>
      <w:r w:rsidRPr="00A929DA">
        <w:rPr>
          <w:b/>
        </w:rPr>
        <w:t xml:space="preserve">7 </w:t>
      </w:r>
      <w:r w:rsidR="00A929DA">
        <w:rPr>
          <w:b/>
        </w:rPr>
        <w:t>–</w:t>
      </w:r>
      <w:r w:rsidR="000F143A">
        <w:t xml:space="preserve"> </w:t>
      </w:r>
      <w:r w:rsidR="00A929DA">
        <w:t xml:space="preserve">Foram </w:t>
      </w:r>
      <w:r w:rsidR="000F143A">
        <w:t>realizadas</w:t>
      </w:r>
      <w:bookmarkStart w:id="0" w:name="_GoBack"/>
      <w:bookmarkEnd w:id="0"/>
      <w:r w:rsidR="00D42A54">
        <w:t xml:space="preserve"> análises de processos administrativos e </w:t>
      </w:r>
      <w:r w:rsidR="00A929DA">
        <w:t>emitidas 1.186(um mil cento e oitenta e seis) Notas de Orientações para correção.</w:t>
      </w:r>
    </w:p>
    <w:p w:rsidR="00A929DA" w:rsidRDefault="00255184" w:rsidP="002411E8">
      <w:pPr>
        <w:jc w:val="both"/>
      </w:pPr>
      <w:r>
        <w:rPr>
          <w:b/>
        </w:rPr>
        <w:t>8</w:t>
      </w:r>
      <w:r w:rsidR="002411E8" w:rsidRPr="00BD05A0">
        <w:rPr>
          <w:b/>
        </w:rPr>
        <w:t xml:space="preserve"> </w:t>
      </w:r>
      <w:r w:rsidR="00A929DA" w:rsidRPr="00BD05A0">
        <w:rPr>
          <w:b/>
        </w:rPr>
        <w:t>–</w:t>
      </w:r>
      <w:r w:rsidR="002411E8">
        <w:t xml:space="preserve"> </w:t>
      </w:r>
      <w:r w:rsidR="00A929DA">
        <w:t xml:space="preserve">Foram </w:t>
      </w:r>
      <w:r w:rsidR="00D42A54">
        <w:t xml:space="preserve">realizadas análises dos processos administrativos e </w:t>
      </w:r>
      <w:r w:rsidR="00A929DA">
        <w:t>emitidas 966</w:t>
      </w:r>
      <w:r w:rsidR="00A929DA" w:rsidRPr="00A929DA">
        <w:t>(</w:t>
      </w:r>
      <w:r w:rsidR="00A929DA">
        <w:t xml:space="preserve">novecentos e sessenta e seis) </w:t>
      </w:r>
      <w:r w:rsidR="00A929DA" w:rsidRPr="00A929DA">
        <w:t xml:space="preserve">Notas de </w:t>
      </w:r>
      <w:r w:rsidR="00A929DA">
        <w:t>Verificações que definem o procedimento apto</w:t>
      </w:r>
      <w:r w:rsidR="000B6595">
        <w:t>,</w:t>
      </w:r>
      <w:r w:rsidR="00A929DA">
        <w:t xml:space="preserve"> ou relatam </w:t>
      </w:r>
      <w:r w:rsidR="000B6595">
        <w:t>apontamentos que sendo atendidos, poderão ser encaminhados para pagamento</w:t>
      </w:r>
      <w:r w:rsidR="00A929DA" w:rsidRPr="00A929DA">
        <w:t>.</w:t>
      </w:r>
    </w:p>
    <w:p w:rsidR="00282B73" w:rsidRDefault="00282B73" w:rsidP="002411E8">
      <w:pPr>
        <w:jc w:val="both"/>
      </w:pPr>
    </w:p>
    <w:p w:rsidR="00F5272D" w:rsidRDefault="00F5272D" w:rsidP="00F5272D">
      <w:pPr>
        <w:pStyle w:val="PargrafodaLista"/>
        <w:ind w:left="360"/>
        <w:jc w:val="center"/>
        <w:rPr>
          <w:b/>
        </w:rPr>
      </w:pPr>
      <w:r>
        <w:rPr>
          <w:b/>
        </w:rPr>
        <w:t>CARLOS TADEU ZERBINI LEÃO</w:t>
      </w:r>
    </w:p>
    <w:p w:rsidR="00A929DA" w:rsidRDefault="00F5272D" w:rsidP="00F5272D">
      <w:pPr>
        <w:pStyle w:val="PargrafodaLista"/>
        <w:ind w:left="360"/>
        <w:jc w:val="center"/>
      </w:pPr>
      <w:r>
        <w:rPr>
          <w:b/>
        </w:rPr>
        <w:t>Controlador Geral</w:t>
      </w:r>
    </w:p>
    <w:sectPr w:rsidR="00A929DA" w:rsidSect="00282B73">
      <w:footerReference w:type="default" r:id="rId3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C4" w:rsidRDefault="009819C4" w:rsidP="00C327D7">
      <w:pPr>
        <w:spacing w:after="0" w:line="240" w:lineRule="auto"/>
      </w:pPr>
      <w:r>
        <w:separator/>
      </w:r>
    </w:p>
  </w:endnote>
  <w:endnote w:type="continuationSeparator" w:id="0">
    <w:p w:rsidR="009819C4" w:rsidRDefault="009819C4" w:rsidP="00C3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7674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327D7" w:rsidRDefault="00C327D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4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14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27D7" w:rsidRDefault="00C327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C4" w:rsidRDefault="009819C4" w:rsidP="00C327D7">
      <w:pPr>
        <w:spacing w:after="0" w:line="240" w:lineRule="auto"/>
      </w:pPr>
      <w:r>
        <w:separator/>
      </w:r>
    </w:p>
  </w:footnote>
  <w:footnote w:type="continuationSeparator" w:id="0">
    <w:p w:rsidR="009819C4" w:rsidRDefault="009819C4" w:rsidP="00C32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78"/>
    <w:rsid w:val="000B6595"/>
    <w:rsid w:val="000F143A"/>
    <w:rsid w:val="00114909"/>
    <w:rsid w:val="00235E1C"/>
    <w:rsid w:val="002411E8"/>
    <w:rsid w:val="00255184"/>
    <w:rsid w:val="002760CE"/>
    <w:rsid w:val="00282B73"/>
    <w:rsid w:val="002C708B"/>
    <w:rsid w:val="003C1849"/>
    <w:rsid w:val="00513DBC"/>
    <w:rsid w:val="00602D75"/>
    <w:rsid w:val="006A2352"/>
    <w:rsid w:val="006B206F"/>
    <w:rsid w:val="007B21AC"/>
    <w:rsid w:val="00814D42"/>
    <w:rsid w:val="008E5A7F"/>
    <w:rsid w:val="00975256"/>
    <w:rsid w:val="009819C4"/>
    <w:rsid w:val="009F79F7"/>
    <w:rsid w:val="00A929DA"/>
    <w:rsid w:val="00BD05A0"/>
    <w:rsid w:val="00C327D7"/>
    <w:rsid w:val="00C93DCD"/>
    <w:rsid w:val="00CF0F78"/>
    <w:rsid w:val="00D42A54"/>
    <w:rsid w:val="00D766E7"/>
    <w:rsid w:val="00DA0544"/>
    <w:rsid w:val="00F440E4"/>
    <w:rsid w:val="00F5272D"/>
    <w:rsid w:val="00F7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49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5272D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32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7D7"/>
  </w:style>
  <w:style w:type="paragraph" w:styleId="Rodap">
    <w:name w:val="footer"/>
    <w:basedOn w:val="Normal"/>
    <w:link w:val="RodapChar"/>
    <w:uiPriority w:val="99"/>
    <w:unhideWhenUsed/>
    <w:rsid w:val="00C32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49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5272D"/>
    <w:pPr>
      <w:ind w:left="720"/>
      <w:contextualSpacing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32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7D7"/>
  </w:style>
  <w:style w:type="paragraph" w:styleId="Rodap">
    <w:name w:val="footer"/>
    <w:basedOn w:val="Normal"/>
    <w:link w:val="RodapChar"/>
    <w:uiPriority w:val="99"/>
    <w:unhideWhenUsed/>
    <w:rsid w:val="00C32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nacional.to.gov.br/images/controladoria/relatorios/NOTAS_DE_ORIENTACOES/NOTA_DE_ORIENTA%C3%87%C3%83O_TECNICA_001-2019_CGM.pdf" TargetMode="External"/><Relationship Id="rId13" Type="http://schemas.openxmlformats.org/officeDocument/2006/relationships/hyperlink" Target="http://www.portonacional.to.gov.br/images/controladoria/relatorios/NOTAS_DE_ORIENTACOES/ANEXO_V_NOTA_DE_ORIENTA%C3%87%C3%83O_001-2019_CGM.pdf" TargetMode="External"/><Relationship Id="rId18" Type="http://schemas.openxmlformats.org/officeDocument/2006/relationships/hyperlink" Target="http://www.portonacional.to.gov.br/images/controladoria/relatorios/NOTAS_DE_ORIENTACOES/ANEXO_X_NOTA_DE_ORIENTA%C3%87%C3%83O_001-2019_CGM.pdf" TargetMode="External"/><Relationship Id="rId26" Type="http://schemas.openxmlformats.org/officeDocument/2006/relationships/hyperlink" Target="http://www.portonacional.to.gov.br/images/controladoria/relatorios/NOTAS_DE_ORIENTACOES/NOTA_DE_ORIENTA%C3%87%C3%83O_TECNICA_004-2019_CGM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ortonacional.to.gov.br/images/controladoria/relatorios/NOTAS_DE_ORIENTACOES/ANEXO_XIII_NOTA_DE_ORIENTA%C3%87%C3%83O_001-2019_CGM.pdf" TargetMode="External"/><Relationship Id="rId34" Type="http://schemas.openxmlformats.org/officeDocument/2006/relationships/hyperlink" Target="http://www.portonacional.to.gov.br/images/Nota_de_Orienta%C3%A7%C3%A3o_006-2019.pdf" TargetMode="External"/><Relationship Id="rId7" Type="http://schemas.openxmlformats.org/officeDocument/2006/relationships/hyperlink" Target="http://www.portonacional.to.gov.br/index.php/relatorios-controladoria" TargetMode="External"/><Relationship Id="rId12" Type="http://schemas.openxmlformats.org/officeDocument/2006/relationships/hyperlink" Target="http://www.portonacional.to.gov.br/images/controladoria/relatorios/NOTAS_DE_ORIENTACOES/ANEXO_IV_NOTA_DE_ORIENTA%C3%87%C3%83O_001-2019_CGM.pdf" TargetMode="External"/><Relationship Id="rId17" Type="http://schemas.openxmlformats.org/officeDocument/2006/relationships/hyperlink" Target="http://www.portonacional.to.gov.br/images/controladoria/relatorios/NOTAS_DE_ORIENTACOES/ANEXO_IX_NOTA_DE_ORIENTA%C3%87%C3%83O_001-2019_CGM.pdf" TargetMode="External"/><Relationship Id="rId25" Type="http://schemas.openxmlformats.org/officeDocument/2006/relationships/hyperlink" Target="http://www.portonacional.to.gov.br/images/controladoria/relatorios/NOTAS_DE_ORIENTACOES/NOTA_DE_ORIENTA%C3%87%C3%83O_TECNICA_003-2019_CGM.pdf" TargetMode="External"/><Relationship Id="rId33" Type="http://schemas.openxmlformats.org/officeDocument/2006/relationships/hyperlink" Target="http://www.portonacional.to.gov.br/images/almoxarifdo_e_estoque.pptx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portonacional.to.gov.br/images/controladoria/relatorios/NOTAS_DE_ORIENTACOES/ANEXO_VIII_NOTA_DE_ORIENTA%C3%87%C3%83O_001-2019_CGM.pdf" TargetMode="External"/><Relationship Id="rId20" Type="http://schemas.openxmlformats.org/officeDocument/2006/relationships/hyperlink" Target="http://www.portonacional.to.gov.br/images/controladoria/relatorios/NOTAS_DE_ORIENTACOES/ANEXO_XII_NOTA_DE_ORIENTA%C3%87%C3%83O_001-2019_CGM.pdf" TargetMode="External"/><Relationship Id="rId29" Type="http://schemas.openxmlformats.org/officeDocument/2006/relationships/hyperlink" Target="http://www.portonacional.to.gov.br/images/CONTROLADOR_GERAL/CADASTRO_DE_PRODUTOS.ppt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rtonacional.to.gov.br/images/controladoria/relatorios/NOTAS_DE_ORIENTACOES/ANEXO_III_NOTA_DE_ORIENTA%C3%87%C3%83O_001-2019_CGM.pdf" TargetMode="External"/><Relationship Id="rId24" Type="http://schemas.openxmlformats.org/officeDocument/2006/relationships/hyperlink" Target="http://www.portonacional.to.gov.br/images/controladoria/relatorios/NOTAS_DE_ORIENTACOES/NOTA_DE_ORIENTA%C3%87%C3%83O_TECNICA_002-2019_CGM.pdf" TargetMode="External"/><Relationship Id="rId32" Type="http://schemas.openxmlformats.org/officeDocument/2006/relationships/hyperlink" Target="http://www.portonacional.to.gov.br/images/Arquivo_Municipal.pdf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portonacional.to.gov.br/images/controladoria/relatorios/NOTAS_DE_ORIENTACOES/ANEXO_XII_NOTA_DE_ORIENTA%C3%87%C3%83O_001-2019_CGM.pdf" TargetMode="External"/><Relationship Id="rId23" Type="http://schemas.openxmlformats.org/officeDocument/2006/relationships/hyperlink" Target="http://www.portonacional.to.gov.br/images/controladoria/relatorios/NOTAS_DE_ORIENTACOES/ANEXO_XV_NOTA_DE_ORIENTA%C3%87%C3%83O_001-2019_CGM.pdf" TargetMode="External"/><Relationship Id="rId28" Type="http://schemas.openxmlformats.org/officeDocument/2006/relationships/hyperlink" Target="http://www.portonacional.to.gov.br/WORKSHOP" TargetMode="External"/><Relationship Id="rId36" Type="http://schemas.openxmlformats.org/officeDocument/2006/relationships/hyperlink" Target="http://www.portonacional.to.gov.br/images/NOTRA_DE_ORIENTA%C3%87%C3%83O_008-2019.pdf" TargetMode="External"/><Relationship Id="rId10" Type="http://schemas.openxmlformats.org/officeDocument/2006/relationships/hyperlink" Target="http://www.portonacional.to.gov.br/images/controladoria/relatorios/NOTAS_DE_ORIENTACOES/ANEXO_II_NOTA_DE_ORIENTA%C3%87%C3%83O_001-2019_CGM.pdf" TargetMode="External"/><Relationship Id="rId19" Type="http://schemas.openxmlformats.org/officeDocument/2006/relationships/hyperlink" Target="http://www.portonacional.to.gov.br/images/controladoria/relatorios/NOTAS_DE_ORIENTACOES/ANEXO_XI_NOTA_DE_ORIENTA%C3%87%C3%83O_001-2019_CGM.pdf" TargetMode="External"/><Relationship Id="rId31" Type="http://schemas.openxmlformats.org/officeDocument/2006/relationships/hyperlink" Target="http://www.portonacional.to.gov.br/images/CONTROLADOR_GERAL/PATRIM%C3%94NIO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onacional.to.gov.br/images/controladoria/relatorios/NOTAS_DE_ORIENTACOES/ANEXO_I-NOTA_DE_ORIENTA%C3%87%C3%83O_001-2019_CGM.pdf" TargetMode="External"/><Relationship Id="rId14" Type="http://schemas.openxmlformats.org/officeDocument/2006/relationships/hyperlink" Target="http://www.portonacional.to.gov.br/images/controladoria/relatorios/NOTAS_DE_ORIENTACOES/ANEXO_VI_NOTA_DE_ORIENTA%C3%87%C3%83O_001-2019_CGM.pdf" TargetMode="External"/><Relationship Id="rId22" Type="http://schemas.openxmlformats.org/officeDocument/2006/relationships/hyperlink" Target="http://www.portonacional.to.gov.br/images/controladoria/relatorios/NOTAS_DE_ORIENTACOES/ANEXO_XIV_NOTA_DE_ORIENTA%C3%87%C3%83O_001-2019_CGM.pdf" TargetMode="External"/><Relationship Id="rId27" Type="http://schemas.openxmlformats.org/officeDocument/2006/relationships/hyperlink" Target="http://www.portonacional.to.gov.br/images/controladoria/relatorios/nota_de_orienta%C3%A7%C3%A3o_005-2019.pdf" TargetMode="External"/><Relationship Id="rId30" Type="http://schemas.openxmlformats.org/officeDocument/2006/relationships/hyperlink" Target="http://www.portonacional.to.gov.br/images/CONTROLADOR_GERAL/CLASSIFICA%C3%87%C3%83O_DA_DESPESA_.pptx" TargetMode="External"/><Relationship Id="rId35" Type="http://schemas.openxmlformats.org/officeDocument/2006/relationships/hyperlink" Target="http://www.portonacional.to.gov.br/images/NOTA_DE_ORIENTA%C3%87%C3%83O_007-2019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1435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DE PINA SANTOS</dc:creator>
  <cp:lastModifiedBy>MARIELLA DE PINA SANTOS</cp:lastModifiedBy>
  <cp:revision>2</cp:revision>
  <cp:lastPrinted>2020-01-02T13:45:00Z</cp:lastPrinted>
  <dcterms:created xsi:type="dcterms:W3CDTF">2020-01-20T20:40:00Z</dcterms:created>
  <dcterms:modified xsi:type="dcterms:W3CDTF">2020-01-20T20:40:00Z</dcterms:modified>
</cp:coreProperties>
</file>